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w:rPr>
          <w:b w:val="1"/>
          <w:bCs w:val="1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1816139</wp:posOffset>
                </wp:positionH>
                <wp:positionV relativeFrom="line">
                  <wp:posOffset>78864</wp:posOffset>
                </wp:positionV>
                <wp:extent cx="4546521" cy="52578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3.0pt;margin-top:6.2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G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AME: Sugar Levels (Level 2) 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2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8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2"/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  <w:bookmarkStart w:name="_Hlk5348247383" w:id="3"/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Make a link between two elements: food and the amount of sugar contained within the food.</w:t>
      </w:r>
    </w:p>
    <w:p>
      <w:pPr>
        <w:pStyle w:val="Corps A"/>
        <w:bidi w:val="0"/>
        <w:ind w:left="0" w:right="0" w:firstLine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  <w:bookmarkStart w:name="_Hlk53482473832" w:id="4"/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Remember the place of the cards and develop a strategy to select the cards 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000000"/>
          <w:sz w:val="22"/>
          <w:szCs w:val="22"/>
          <w:u w:color="000000"/>
        </w:rPr>
        <w:br w:type="textWrapping"/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effectively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Be patient and persistent</w:t>
      </w:r>
      <w:bookmarkEnd w:id="4"/>
      <w:bookmarkEnd w:id="3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Regular" w:cs="Open Sans Regular" w:hAnsi="Open Sans Regular" w:eastAsia="Open Sans Regular"/>
          <w:color w:val="1f4e79"/>
          <w:u w:color="1f4e79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cubes of sugar, water, soda, tomato sauce, icecream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After viewing the video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« 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Sugar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>at</w:t>
      </w:r>
      <w:r>
        <w:rPr>
          <w:rStyle w:val="Aucun"/>
          <w:rFonts w:ascii="Open Sans Regular" w:hAnsi="Open Sans Regular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"http://opensign.eu/thematic_topics/56"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http://opensign.eu/thematic_topics/56</w:t>
      </w:r>
      <w:r>
        <w:rPr/>
        <w:fldChar w:fldCharType="end" w:fldLock="0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playing this game will allow an evaluatio</w:t>
      </w:r>
      <w:r>
        <w:rPr>
          <w:rStyle w:val="Aucun"/>
          <w:rFonts w:ascii="Open Sans Bold" w:hAnsi="Open Sans Bold"/>
          <w:sz w:val="22"/>
          <w:szCs w:val="22"/>
          <w:u w:color="365f91"/>
          <w:rtl w:val="0"/>
          <w:lang w:val="fr-FR"/>
        </w:rPr>
        <w:t xml:space="preserve">n of comprehension of the video 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"http://www.open-sign.eu/memory_game/79"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http://www.open-sign.eu/memory_game/79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rtl w:val="0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Focus on sign language: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Be able to question the relationship between the quantity of food and the quantity of hidden sugar in them.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GAME: Sugar Levels 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JEU :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1138117</wp:posOffset>
            </wp:positionH>
            <wp:positionV relativeFrom="line">
              <wp:posOffset>622905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.4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instrText xml:space="preserve"> HYPERLINK "http://www.open-sign.eu/memory_game/79"</w:instrText>
      </w:r>
      <w:r>
        <w:rPr>
          <w:rStyle w:val="Hyperlink.4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Bold" w:hAnsi="Open Sans Bold"/>
          <w:color w:val="0000ff"/>
          <w:sz w:val="24"/>
          <w:szCs w:val="24"/>
          <w:u w:val="single" w:color="0000ff"/>
          <w:rtl w:val="0"/>
          <w:lang w:val="en-US"/>
        </w:rPr>
        <w:t>http://www.open-sign.eu/memory_game/79</w:t>
      </w:r>
      <w:r>
        <w:rPr>
          <w:rFonts w:ascii="Open Sans Bold" w:cs="Open Sans Bold" w:hAnsi="Open Sans Bold" w:eastAsia="Open Sans Bold"/>
          <w:sz w:val="22"/>
          <w:szCs w:val="22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5161915</wp:posOffset>
            </wp:positionH>
            <wp:positionV relativeFrom="line">
              <wp:posOffset>622905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0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2124958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67.3pt;margin-top:111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4187388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29.7pt;margin-top:111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6299517</wp:posOffset>
                </wp:positionH>
                <wp:positionV relativeFrom="line">
                  <wp:posOffset>1416866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96.0pt;margin-top:111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3171953</wp:posOffset>
            </wp:positionH>
            <wp:positionV relativeFrom="line">
              <wp:posOffset>622905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758685</wp:posOffset>
            </wp:positionH>
            <wp:positionV relativeFrom="line">
              <wp:posOffset>1976140</wp:posOffset>
            </wp:positionV>
            <wp:extent cx="6116321" cy="365209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0"/>
                <wp:lineTo x="0" y="21620"/>
                <wp:lineTo x="0" y="0"/>
              </wp:wrapPolygon>
            </wp:wrapThrough>
            <wp:docPr id="1073741835" name="officeArt object" descr="79-sugar-level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79-sugar-level2.png" descr="79-sugar-level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652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611107</wp:posOffset>
                </wp:positionH>
                <wp:positionV relativeFrom="line">
                  <wp:posOffset>317624</wp:posOffset>
                </wp:positionV>
                <wp:extent cx="6423861" cy="5702988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3861" cy="57029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8.1pt;margin-top:25.0pt;width:505.8pt;height:449.1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6"/>
        </w:numPr>
        <w:rPr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"http://www.open-sign.eu/thematic_topics/56"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http://www.open-sign.eu/thematic_topics/56</w:t>
      </w:r>
      <w:r>
        <w:rPr/>
        <w:fldChar w:fldCharType="end" w:fldLock="0"/>
      </w:r>
    </w:p>
    <w:p>
      <w:pPr>
        <w:pStyle w:val="Corps A"/>
        <w:numPr>
          <w:ilvl w:val="0"/>
          <w:numId w:val="6"/>
        </w:numPr>
        <w:rPr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Eating Sugar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"http://www.open-sign.eu/multiplechoice/62"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http://www.open-sign.eu/multiplechoice/62</w:t>
      </w:r>
      <w:r>
        <w:rPr/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  <w:sz w:val="22"/>
          <w:szCs w:val="22"/>
        </w:rPr>
      </w:pPr>
      <w:r>
        <w:rPr>
          <w:rStyle w:val="Aucun"/>
          <w:rFonts w:ascii="Open Sans Regular" w:hAnsi="Open Sans Regular"/>
          <w:sz w:val="22"/>
          <w:szCs w:val="22"/>
          <w:rtl w:val="0"/>
        </w:rPr>
        <w:t>2.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Energy Levels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: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"http://www.open-sign.eu/multiplechoice/80"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  <w:lang w:val="en-US"/>
        </w:rPr>
        <w:t>http://www.open-sign.eu/multiplechoice/80</w:t>
      </w:r>
      <w:r>
        <w:rPr/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ind w:left="360" w:firstLine="0"/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3.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</w:rPr>
    </w:pPr>
    <w:r>
      <w:rPr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sz w:val="20"/>
        <w:szCs w:val="20"/>
        <w:rtl w:val="0"/>
        <w:lang w:val="fr-FR"/>
      </w:rPr>
      <w:t xml:space="preserve">Ce projet n </w:t>
    </w:r>
    <w:r>
      <w:rPr>
        <w:sz w:val="20"/>
        <w:szCs w:val="20"/>
        <w:rtl w:val="0"/>
        <w:lang w:val="fr-FR"/>
      </w:rPr>
      <w:t xml:space="preserve">° </w:t>
    </w:r>
    <w:r>
      <w:rPr>
        <w:sz w:val="20"/>
        <w:szCs w:val="20"/>
        <w:rtl w:val="0"/>
        <w:lang w:val="fr-FR"/>
      </w:rPr>
      <w:t xml:space="preserve">2017-1-FR01-KA201-037433 a </w:t>
    </w:r>
    <w:r>
      <w:rPr>
        <w:sz w:val="20"/>
        <w:szCs w:val="20"/>
        <w:rtl w:val="0"/>
        <w:lang w:val="fr-FR"/>
      </w:rPr>
      <w:t>é</w:t>
    </w:r>
    <w:r>
      <w:rPr>
        <w:sz w:val="20"/>
        <w:szCs w:val="20"/>
        <w:rtl w:val="0"/>
        <w:lang w:val="fr-FR"/>
      </w:rPr>
      <w:t>t</w:t>
    </w:r>
    <w:r>
      <w:rPr>
        <w:sz w:val="20"/>
        <w:szCs w:val="20"/>
        <w:rtl w:val="0"/>
        <w:lang w:val="fr-FR"/>
      </w:rPr>
      <w:t xml:space="preserve">é </w:t>
    </w:r>
    <w:r>
      <w:rPr>
        <w:sz w:val="20"/>
        <w:szCs w:val="20"/>
        <w:rtl w:val="0"/>
        <w:lang w:val="fr-FR"/>
      </w:rPr>
      <w:t>financ</w:t>
    </w:r>
    <w:r>
      <w:rPr>
        <w:sz w:val="20"/>
        <w:szCs w:val="20"/>
        <w:rtl w:val="0"/>
        <w:lang w:val="fr-FR"/>
      </w:rPr>
      <w:t xml:space="preserve">é </w:t>
    </w:r>
    <w:r>
      <w:rPr>
        <w:sz w:val="20"/>
        <w:szCs w:val="20"/>
        <w:rtl w:val="0"/>
        <w:lang w:val="fr-FR"/>
      </w:rPr>
      <w:t>avec le soutien de la Commission europ</w:t>
    </w:r>
    <w:r>
      <w:rPr>
        <w:sz w:val="20"/>
        <w:szCs w:val="20"/>
        <w:rtl w:val="0"/>
        <w:lang w:val="fr-FR"/>
      </w:rPr>
      <w:t>é</w:t>
    </w:r>
    <w:r>
      <w:rPr>
        <w:sz w:val="20"/>
        <w:szCs w:val="20"/>
        <w:rtl w:val="0"/>
        <w:lang w:val="fr-FR"/>
      </w:rPr>
      <w:t xml:space="preserve">enne. Cette publication n'engage que son auteur et la Commission ne peut </w:t>
    </w:r>
    <w:r>
      <w:rPr>
        <w:sz w:val="20"/>
        <w:szCs w:val="20"/>
        <w:rtl w:val="0"/>
        <w:lang w:val="fr-FR"/>
      </w:rPr>
      <w:t>ê</w:t>
    </w:r>
    <w:r>
      <w:rPr>
        <w:sz w:val="20"/>
        <w:szCs w:val="20"/>
        <w:rtl w:val="0"/>
        <w:lang w:val="fr-FR"/>
      </w:rPr>
      <w:t xml:space="preserve">tre tenue responsable de l'usage qui pourrait </w:t>
    </w:r>
    <w:r>
      <w:rPr>
        <w:sz w:val="20"/>
        <w:szCs w:val="20"/>
        <w:rtl w:val="0"/>
        <w:lang w:val="fr-FR"/>
      </w:rPr>
      <w:t>ê</w:t>
    </w:r>
    <w:r>
      <w:rPr>
        <w:sz w:val="20"/>
        <w:szCs w:val="20"/>
        <w:rtl w:val="0"/>
        <w:lang w:val="fr-FR"/>
      </w:rPr>
      <w:t>tre fait des informations qui y figurent.</w:t>
    </w:r>
  </w:p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character" w:styleId="Hyperlink.3">
    <w:name w:val="Hyperlink.3"/>
    <w:basedOn w:val="Aucun"/>
    <w:next w:val="Hyperlink.3"/>
    <w:rPr>
      <w:color w:val="0000ff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4">
    <w:name w:val="Hyperlink.4"/>
    <w:basedOn w:val="Aucun"/>
    <w:next w:val="Hyperlink.4"/>
    <w:rPr>
      <w:color w:val="0000ff"/>
      <w:sz w:val="24"/>
      <w:szCs w:val="24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