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Quiz : Les niveaux d’énergie du sucre</w:t>
      </w:r>
    </w:p>
    <w:p w:rsidR="00000000" w:rsidDel="00000000" w:rsidP="00000000" w:rsidRDefault="00000000" w:rsidRPr="00000000" w14:paraId="00000003">
      <w:pPr>
        <w:jc w:val="center"/>
        <w:rPr>
          <w:rFonts w:ascii="Open Sans" w:cs="Open Sans" w:eastAsia="Open Sans" w:hAnsi="Open Sans"/>
          <w:b w:val="1"/>
          <w:i w:val="1"/>
          <w:color w:val="366091"/>
        </w:rPr>
      </w:pPr>
      <w:hyperlink r:id="rId7">
        <w:r w:rsidDel="00000000" w:rsidR="00000000" w:rsidRPr="00000000">
          <w:rPr>
            <w:rFonts w:ascii="Open Sans" w:cs="Open Sans" w:eastAsia="Open Sans" w:hAnsi="Open Sans"/>
            <w:b w:val="1"/>
            <w:i w:val="1"/>
            <w:color w:val="1155cc"/>
            <w:u w:val="single"/>
            <w:rtl w:val="0"/>
          </w:rPr>
          <w:t xml:space="preserve">https://www.opensign.eu/fr/multiplechoice/80</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04">
      <w:pPr>
        <w:jc w:val="left"/>
        <w:rPr>
          <w:rFonts w:ascii="Open Sans" w:cs="Open Sans" w:eastAsia="Open Sans" w:hAnsi="Open Sans"/>
          <w:b w:val="1"/>
          <w:i w:val="1"/>
          <w:color w:val="1155cc"/>
          <w:u w:val="single"/>
        </w:rPr>
      </w:pPr>
      <w:r w:rsidDel="00000000" w:rsidR="00000000" w:rsidRPr="00000000">
        <w:rPr>
          <w:rtl w:val="0"/>
        </w:rPr>
      </w:r>
    </w:p>
    <w:p w:rsidR="00000000" w:rsidDel="00000000" w:rsidP="00000000" w:rsidRDefault="00000000" w:rsidRPr="00000000" w14:paraId="00000005">
      <w:pPr>
        <w:rPr>
          <w:rFonts w:ascii="Cabin" w:cs="Cabin" w:eastAsia="Cabin" w:hAnsi="Cabin"/>
          <w:b w:val="1"/>
          <w:color w:val="1155cc"/>
          <w:u w:val="single"/>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9 à 12 ans</w:t>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B">
      <w:pPr>
        <w:numPr>
          <w:ilvl w:val="0"/>
          <w:numId w:val="1"/>
        </w:numPr>
        <w:spacing w:after="0" w:befor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expliquer l’impact de la consommation de sucre sur l’énergie du corps.</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lire un graphique.</w:t>
      </w:r>
      <w:r w:rsidDel="00000000" w:rsidR="00000000" w:rsidRPr="00000000">
        <w:rPr>
          <w:rtl w:val="0"/>
        </w:rPr>
      </w:r>
    </w:p>
    <w:p w:rsidR="00000000" w:rsidDel="00000000" w:rsidP="00000000" w:rsidRDefault="00000000" w:rsidRPr="00000000" w14:paraId="0000000D">
      <w:pPr>
        <w:numPr>
          <w:ilvl w:val="0"/>
          <w:numId w:val="1"/>
        </w:numPr>
        <w:spacing w:after="240" w:before="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prendre le temps d’écouter les 3 réponses et choisir sa réponse sciemment.</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color w:val="1155cc"/>
          <w:sz w:val="22"/>
          <w:szCs w:val="22"/>
          <w:u w:val="single"/>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0F">
      <w:pPr>
        <w:spacing w:after="180" w:before="180" w:lineRule="auto"/>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2">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Niveau d’énergie.</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5">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visionnage de la vidéo sur le thème « Le sucre » (</w:t>
      </w:r>
      <w:hyperlink r:id="rId11">
        <w:r w:rsidDel="00000000" w:rsidR="00000000" w:rsidRPr="00000000">
          <w:rPr>
            <w:rFonts w:ascii="Open Sans" w:cs="Open Sans" w:eastAsia="Open Sans" w:hAnsi="Open Sans"/>
            <w:b w:val="1"/>
            <w:i w:val="1"/>
            <w:color w:val="1155cc"/>
            <w:sz w:val="22"/>
            <w:szCs w:val="22"/>
            <w:u w:val="single"/>
            <w:rtl w:val="0"/>
          </w:rPr>
          <w:t xml:space="preserve">http://www.opensign.eu/thematic_topics/56</w:t>
        </w:r>
      </w:hyperlink>
      <w:r w:rsidDel="00000000" w:rsidR="00000000" w:rsidRPr="00000000">
        <w:rPr>
          <w:rFonts w:ascii="Open Sans" w:cs="Open Sans" w:eastAsia="Open Sans" w:hAnsi="Open Sans"/>
          <w:b w:val="1"/>
          <w:i w:val="1"/>
          <w:sz w:val="22"/>
          <w:szCs w:val="22"/>
          <w:rtl w:val="0"/>
        </w:rPr>
        <w:t xml:space="preserve">) et échange autour du contenu de la vidéo, ce jeu permet une évaluation de la compréhension de la vidéo. </w:t>
      </w:r>
    </w:p>
    <w:p w:rsidR="00000000" w:rsidDel="00000000" w:rsidP="00000000" w:rsidRDefault="00000000" w:rsidRPr="00000000" w14:paraId="00000016">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Sur un espace avec 3 propositions, cocher les propositions exactes. L’enfant doit être capable de justifier son choix. </w:t>
      </w:r>
    </w:p>
    <w:p w:rsidR="00000000" w:rsidDel="00000000" w:rsidP="00000000" w:rsidRDefault="00000000" w:rsidRPr="00000000" w14:paraId="00000018">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9">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C">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D">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ind w:left="0" w:firstLine="0"/>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 </w:t>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Ne pas hésiter à inviter le joueur à écouter plusieurs fois la question, à reformuler dans sa</w:t>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langue des signes. Vous pouvez questionner l’enfant sur son ou ses choix.</w:t>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7">
      <w:pPr>
        <w:ind w:left="0" w:firstLine="0"/>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9">
      <w:pPr>
        <w:jc w:val="center"/>
        <w:rPr>
          <w:rFonts w:ascii="Open Sans" w:cs="Open Sans" w:eastAsia="Open Sans" w:hAnsi="Open Sans"/>
          <w:b w:val="1"/>
          <w:i w:val="1"/>
          <w:color w:val="366091"/>
        </w:rPr>
      </w:pPr>
      <w:r w:rsidDel="00000000" w:rsidR="00000000" w:rsidRPr="00000000">
        <w:br w:type="page"/>
      </w:r>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b w:val="1"/>
          <w:i w:val="1"/>
          <w:color w:val="366091"/>
        </w:rPr>
      </w:pPr>
      <w:r w:rsidDel="00000000" w:rsidR="00000000" w:rsidRPr="00000000">
        <w:rPr>
          <w:rFonts w:ascii="Open Sans" w:cs="Open Sans" w:eastAsia="Open Sans" w:hAnsi="Open Sans"/>
          <w:b w:val="1"/>
          <w:i w:val="1"/>
          <w:color w:val="366091"/>
          <w:rtl w:val="0"/>
        </w:rPr>
        <w:t xml:space="preserve">Quiz : Les niveaux d’énergie</w:t>
      </w:r>
    </w:p>
    <w:p w:rsidR="00000000" w:rsidDel="00000000" w:rsidP="00000000" w:rsidRDefault="00000000" w:rsidRPr="00000000" w14:paraId="0000002B">
      <w:pPr>
        <w:jc w:val="center"/>
        <w:rPr>
          <w:rFonts w:ascii="Open Sans" w:cs="Open Sans" w:eastAsia="Open Sans" w:hAnsi="Open Sans"/>
          <w:b w:val="1"/>
          <w:i w:val="1"/>
          <w:color w:val="366091"/>
        </w:rPr>
      </w:pPr>
      <w:hyperlink r:id="rId12">
        <w:r w:rsidDel="00000000" w:rsidR="00000000" w:rsidRPr="00000000">
          <w:rPr>
            <w:rFonts w:ascii="Open Sans" w:cs="Open Sans" w:eastAsia="Open Sans" w:hAnsi="Open Sans"/>
            <w:b w:val="1"/>
            <w:i w:val="1"/>
            <w:color w:val="1155cc"/>
            <w:u w:val="single"/>
            <w:rtl w:val="0"/>
          </w:rPr>
          <w:t xml:space="preserve">https://www.opensign.eu/multiplechoice/80</w:t>
        </w:r>
      </w:hyperlink>
      <w:r w:rsidDel="00000000" w:rsidR="00000000" w:rsidRPr="00000000">
        <w:rPr>
          <w:rFonts w:ascii="Open Sans" w:cs="Open Sans" w:eastAsia="Open Sans" w:hAnsi="Open Sans"/>
          <w:b w:val="1"/>
          <w:i w:val="1"/>
          <w:color w:val="366091"/>
          <w:rtl w:val="0"/>
        </w:rPr>
        <w:t xml:space="preserve">  </w:t>
      </w:r>
    </w:p>
    <w:p w:rsidR="00000000" w:rsidDel="00000000" w:rsidP="00000000" w:rsidRDefault="00000000" w:rsidRPr="00000000" w14:paraId="0000002C">
      <w:pPr>
        <w:jc w:val="center"/>
        <w:rPr>
          <w:rFonts w:ascii="Open Sans" w:cs="Open Sans" w:eastAsia="Open Sans" w:hAnsi="Open Sans"/>
          <w:b w:val="1"/>
          <w:i w:val="1"/>
          <w:color w:val="366091"/>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I- Trace écrite: auto-évaluation: </w:t>
      </w:r>
    </w:p>
    <w:p w:rsidR="00000000" w:rsidDel="00000000" w:rsidP="00000000" w:rsidRDefault="00000000" w:rsidRPr="00000000" w14:paraId="0000002E">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quiz sur Open Sign.</w:t>
      </w:r>
    </w:p>
    <w:p w:rsidR="00000000" w:rsidDel="00000000" w:rsidP="00000000" w:rsidRDefault="00000000" w:rsidRPr="00000000" w14:paraId="0000002F">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30">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1">
      <w:pPr>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6028373" cy="4463840"/>
            <wp:effectExtent b="0" l="0" r="0" t="0"/>
            <wp:docPr id="19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6028373" cy="446384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3">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4">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Manger du sucre </w:t>
      </w:r>
    </w:p>
    <w:p w:rsidR="00000000" w:rsidDel="00000000" w:rsidP="00000000" w:rsidRDefault="00000000" w:rsidRPr="00000000" w14:paraId="00000035">
      <w:pPr>
        <w:tabs>
          <w:tab w:val="left" w:pos="1275"/>
        </w:tabs>
        <w:ind w:left="720" w:firstLine="0"/>
        <w:rPr>
          <w:rFonts w:ascii="Open Sans" w:cs="Open Sans" w:eastAsia="Open Sans" w:hAnsi="Open Sans"/>
          <w:b w:val="1"/>
          <w:sz w:val="22"/>
          <w:szCs w:val="22"/>
        </w:rPr>
      </w:pPr>
      <w:hyperlink r:id="rId14">
        <w:r w:rsidDel="00000000" w:rsidR="00000000" w:rsidRPr="00000000">
          <w:rPr>
            <w:rFonts w:ascii="Open Sans" w:cs="Open Sans" w:eastAsia="Open Sans" w:hAnsi="Open Sans"/>
            <w:b w:val="1"/>
            <w:color w:val="1155cc"/>
            <w:sz w:val="22"/>
            <w:szCs w:val="22"/>
            <w:u w:val="single"/>
            <w:rtl w:val="0"/>
          </w:rPr>
          <w:t xml:space="preserve">http://www.opensign.eu/multiplechoice/62</w:t>
        </w:r>
      </w:hyperlink>
      <w:r w:rsidDel="00000000" w:rsidR="00000000" w:rsidRPr="00000000">
        <w:rPr>
          <w:rFonts w:ascii="Open Sans" w:cs="Open Sans" w:eastAsia="Open Sans" w:hAnsi="Open Sans"/>
          <w:b w:val="1"/>
          <w:sz w:val="22"/>
          <w:szCs w:val="22"/>
          <w:rtl w:val="0"/>
        </w:rPr>
        <w:t xml:space="preserve"> </w:t>
      </w:r>
    </w:p>
    <w:p w:rsidR="00000000" w:rsidDel="00000000" w:rsidP="00000000" w:rsidRDefault="00000000" w:rsidRPr="00000000" w14:paraId="00000036">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Jeu à choix multiples : Niveaux d’énergie </w:t>
      </w:r>
    </w:p>
    <w:p w:rsidR="00000000" w:rsidDel="00000000" w:rsidP="00000000" w:rsidRDefault="00000000" w:rsidRPr="00000000" w14:paraId="00000037">
      <w:pPr>
        <w:tabs>
          <w:tab w:val="left" w:pos="1275"/>
        </w:tabs>
        <w:ind w:left="720" w:firstLine="0"/>
        <w:rPr>
          <w:rFonts w:ascii="Open Sans" w:cs="Open Sans" w:eastAsia="Open Sans" w:hAnsi="Open Sans"/>
          <w:b w:val="1"/>
          <w:color w:val="1155cc"/>
          <w:sz w:val="22"/>
          <w:szCs w:val="22"/>
          <w:u w:val="single"/>
        </w:rPr>
      </w:pPr>
      <w:hyperlink r:id="rId15">
        <w:r w:rsidDel="00000000" w:rsidR="00000000" w:rsidRPr="00000000">
          <w:rPr>
            <w:rFonts w:ascii="Open Sans" w:cs="Open Sans" w:eastAsia="Open Sans" w:hAnsi="Open Sans"/>
            <w:b w:val="1"/>
            <w:color w:val="1155cc"/>
            <w:sz w:val="22"/>
            <w:szCs w:val="22"/>
            <w:u w:val="single"/>
            <w:rtl w:val="0"/>
          </w:rPr>
          <w:t xml:space="preserve">http://www.opensign.eu/multiplechoice/80</w:t>
        </w:r>
      </w:hyperlink>
      <w:r w:rsidDel="00000000" w:rsidR="00000000" w:rsidRPr="00000000">
        <w:rPr>
          <w:rtl w:val="0"/>
        </w:rPr>
      </w:r>
    </w:p>
    <w:p w:rsidR="00000000" w:rsidDel="00000000" w:rsidP="00000000" w:rsidRDefault="00000000" w:rsidRPr="00000000" w14:paraId="00000038">
      <w:pPr>
        <w:numPr>
          <w:ilvl w:val="0"/>
          <w:numId w:val="2"/>
        </w:numPr>
        <w:tabs>
          <w:tab w:val="left" w:pos="1275"/>
        </w:tabs>
        <w:ind w:left="720" w:hanging="360"/>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 Jeu de mémoire :   le sucre caché</w:t>
      </w:r>
    </w:p>
    <w:p w:rsidR="00000000" w:rsidDel="00000000" w:rsidP="00000000" w:rsidRDefault="00000000" w:rsidRPr="00000000" w14:paraId="00000039">
      <w:pPr>
        <w:tabs>
          <w:tab w:val="left" w:pos="1275"/>
        </w:tabs>
        <w:ind w:left="720" w:firstLine="0"/>
        <w:rPr>
          <w:rFonts w:ascii="Open Sans" w:cs="Open Sans" w:eastAsia="Open Sans" w:hAnsi="Open Sans"/>
          <w:b w:val="1"/>
          <w:color w:val="1155cc"/>
          <w:sz w:val="22"/>
          <w:szCs w:val="22"/>
          <w:u w:val="single"/>
        </w:rPr>
      </w:pPr>
      <w:hyperlink r:id="rId16">
        <w:r w:rsidDel="00000000" w:rsidR="00000000" w:rsidRPr="00000000">
          <w:rPr>
            <w:rFonts w:ascii="Open Sans" w:cs="Open Sans" w:eastAsia="Open Sans" w:hAnsi="Open Sans"/>
            <w:b w:val="1"/>
            <w:color w:val="1155cc"/>
            <w:sz w:val="22"/>
            <w:szCs w:val="22"/>
            <w:u w:val="single"/>
            <w:rtl w:val="0"/>
          </w:rPr>
          <w:t xml:space="preserve">https://www.opensign.eu/memory_game/78</w:t>
        </w:r>
      </w:hyperlink>
      <w:r w:rsidDel="00000000" w:rsidR="00000000" w:rsidRPr="00000000">
        <w:rPr>
          <w:rtl w:val="0"/>
        </w:rPr>
      </w:r>
    </w:p>
    <w:p w:rsidR="00000000" w:rsidDel="00000000" w:rsidP="00000000" w:rsidRDefault="00000000" w:rsidRPr="00000000" w14:paraId="0000003A">
      <w:pPr>
        <w:tabs>
          <w:tab w:val="left" w:pos="1275"/>
        </w:tabs>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B">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C">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D">
      <w:pPr>
        <w:tabs>
          <w:tab w:val="left" w:pos="1275"/>
        </w:tabs>
        <w:rPr>
          <w:rFonts w:ascii="Open Sans" w:cs="Open Sans" w:eastAsia="Open Sans" w:hAnsi="Open Sans"/>
          <w:sz w:val="22"/>
          <w:szCs w:val="22"/>
        </w:rPr>
      </w:pPr>
      <w:hyperlink r:id="rId17">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18" w:type="default"/>
      <w:footerReference r:id="rId19"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9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4">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-34914</wp:posOffset>
          </wp:positionV>
          <wp:extent cx="1810385" cy="530225"/>
          <wp:effectExtent b="0" l="0" r="0" t="0"/>
          <wp:wrapSquare wrapText="bothSides" distB="0" distT="0" distL="114300" distR="114300"/>
          <wp:docPr id="19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-281929</wp:posOffset>
          </wp:positionH>
          <wp:positionV relativeFrom="paragraph">
            <wp:posOffset>9525</wp:posOffset>
          </wp:positionV>
          <wp:extent cx="1975485" cy="426720"/>
          <wp:effectExtent b="0" l="0" r="0" t="0"/>
          <wp:wrapSquare wrapText="bothSides" distB="0" distT="0" distL="114300" distR="114300"/>
          <wp:docPr id="19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pen-sign.eu/thematic_topics/56" TargetMode="External"/><Relationship Id="rId10" Type="http://schemas.openxmlformats.org/officeDocument/2006/relationships/hyperlink" Target="http://eur-lex.europa.eu/legal-content/FR/TXT/?uri=LEGISSUM%3Ac11090" TargetMode="External"/><Relationship Id="rId13" Type="http://schemas.openxmlformats.org/officeDocument/2006/relationships/image" Target="media/image3.png"/><Relationship Id="rId12" Type="http://schemas.openxmlformats.org/officeDocument/2006/relationships/hyperlink" Target="https://www.opensign.eu/multiplechoice/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15" Type="http://schemas.openxmlformats.org/officeDocument/2006/relationships/hyperlink" Target="http://www.open-sign.eu/multiplechoice/80" TargetMode="External"/><Relationship Id="rId14" Type="http://schemas.openxmlformats.org/officeDocument/2006/relationships/hyperlink" Target="http://www.open-sign.eu/multiplechoice/62" TargetMode="External"/><Relationship Id="rId17" Type="http://schemas.openxmlformats.org/officeDocument/2006/relationships/hyperlink" Target="http://www.opensign.eu/gamescreator" TargetMode="External"/><Relationship Id="rId16" Type="http://schemas.openxmlformats.org/officeDocument/2006/relationships/hyperlink" Target="https://www.opensign.eu/memory_game/78"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opensign.eu/multiplechoice/80" TargetMode="External"/><Relationship Id="rId8" Type="http://schemas.openxmlformats.org/officeDocument/2006/relationships/hyperlink" Target="http://www.media-pi.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ibQj+CSPRREcTJcKvHrZTR3tA==">AMUW2mX0eiGKAzdcYSsQA4Ysh5af5jdGBrheB69lWHvPAHDVwjipRch01Y87f+gqXqYpzLy0LMqplMl/G9wyxe0/jzueX8VOgEHtI8BWngylPBijE92NjoE=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